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B9" w:rsidRPr="0054265A" w:rsidRDefault="000A27D8" w:rsidP="000A27D8">
      <w:pPr>
        <w:jc w:val="center"/>
        <w:rPr>
          <w:rFonts w:ascii="Times New Roman" w:hAnsi="Times New Roman" w:cs="Times New Roman"/>
          <w:b/>
          <w:sz w:val="28"/>
          <w:szCs w:val="24"/>
        </w:rPr>
      </w:pPr>
      <w:r w:rsidRPr="0054265A">
        <w:rPr>
          <w:rFonts w:ascii="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ABDFF6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54265A">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339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54265A">
        <w:rPr>
          <w:rFonts w:ascii="Times New Roman" w:hAnsi="Times New Roman" w:cs="Times New Roman"/>
          <w:b/>
          <w:sz w:val="28"/>
          <w:szCs w:val="24"/>
        </w:rPr>
        <w:t>Summary of Content Changes</w:t>
      </w:r>
      <w:r w:rsidR="000A751A" w:rsidRPr="0054265A">
        <w:rPr>
          <w:rFonts w:ascii="Times New Roman" w:hAnsi="Times New Roman" w:cs="Times New Roman"/>
          <w:b/>
          <w:sz w:val="28"/>
          <w:szCs w:val="24"/>
        </w:rPr>
        <w:br/>
        <w:t>201</w:t>
      </w:r>
      <w:r w:rsidR="00DA02DB">
        <w:rPr>
          <w:rFonts w:ascii="Times New Roman" w:hAnsi="Times New Roman" w:cs="Times New Roman"/>
          <w:b/>
          <w:sz w:val="28"/>
          <w:szCs w:val="24"/>
        </w:rPr>
        <w:t>8</w:t>
      </w:r>
      <w:r w:rsidR="000A751A" w:rsidRPr="0054265A">
        <w:rPr>
          <w:rFonts w:ascii="Times New Roman" w:hAnsi="Times New Roman" w:cs="Times New Roman"/>
          <w:b/>
          <w:sz w:val="28"/>
          <w:szCs w:val="24"/>
        </w:rPr>
        <w:t>.</w:t>
      </w:r>
      <w:r w:rsidR="004123E7">
        <w:rPr>
          <w:rFonts w:ascii="Times New Roman" w:hAnsi="Times New Roman" w:cs="Times New Roman"/>
          <w:b/>
          <w:sz w:val="28"/>
          <w:szCs w:val="24"/>
        </w:rPr>
        <w:t>2</w:t>
      </w:r>
      <w:r w:rsidR="000A751A" w:rsidRPr="0054265A">
        <w:rPr>
          <w:rFonts w:ascii="Times New Roman" w:hAnsi="Times New Roman" w:cs="Times New Roman"/>
          <w:b/>
          <w:sz w:val="28"/>
          <w:szCs w:val="24"/>
        </w:rPr>
        <w:t xml:space="preserve"> Update – </w:t>
      </w:r>
      <w:r w:rsidR="004123E7">
        <w:rPr>
          <w:rFonts w:ascii="Times New Roman" w:hAnsi="Times New Roman" w:cs="Times New Roman"/>
          <w:b/>
          <w:sz w:val="28"/>
          <w:szCs w:val="24"/>
        </w:rPr>
        <w:t>June</w:t>
      </w:r>
      <w:r w:rsidR="00DA02DB">
        <w:rPr>
          <w:rFonts w:ascii="Times New Roman" w:hAnsi="Times New Roman" w:cs="Times New Roman"/>
          <w:b/>
          <w:sz w:val="28"/>
          <w:szCs w:val="24"/>
        </w:rPr>
        <w:t>, 2018</w:t>
      </w:r>
    </w:p>
    <w:p w:rsidR="00061545" w:rsidRDefault="00061545">
      <w:pPr>
        <w:rPr>
          <w:rFonts w:ascii="Times New Roman" w:hAnsi="Times New Roman" w:cs="Times New Roman"/>
          <w:b/>
          <w:sz w:val="24"/>
          <w:szCs w:val="24"/>
          <w:u w:val="single"/>
        </w:rPr>
      </w:pPr>
    </w:p>
    <w:p w:rsidR="00BB140A" w:rsidRPr="00883718" w:rsidRDefault="00BB140A">
      <w:pPr>
        <w:rPr>
          <w:rFonts w:cstheme="minorHAnsi"/>
          <w:b/>
          <w:sz w:val="24"/>
          <w:szCs w:val="24"/>
          <w:u w:val="single"/>
        </w:rPr>
      </w:pPr>
      <w:r w:rsidRPr="00883718">
        <w:rPr>
          <w:rFonts w:cstheme="minorHAnsi"/>
          <w:b/>
          <w:sz w:val="24"/>
          <w:szCs w:val="24"/>
          <w:u w:val="single"/>
        </w:rPr>
        <w:t>General Notes</w:t>
      </w:r>
    </w:p>
    <w:p w:rsidR="00DA02DB" w:rsidRDefault="003B2454" w:rsidP="00B52136">
      <w:pPr>
        <w:rPr>
          <w:rFonts w:cstheme="minorHAnsi"/>
          <w:sz w:val="24"/>
          <w:szCs w:val="24"/>
        </w:rPr>
      </w:pPr>
      <w:r>
        <w:rPr>
          <w:rFonts w:cstheme="minorHAnsi"/>
          <w:sz w:val="24"/>
          <w:szCs w:val="24"/>
        </w:rPr>
        <w:t xml:space="preserve">The NCUA had two changes to regulation in the past quarter, impacting our policy revisions in this update.  The first was related to the NCUA’s changes to the </w:t>
      </w:r>
      <w:hyperlink r:id="rId5" w:history="1">
        <w:r w:rsidRPr="003B2454">
          <w:rPr>
            <w:rStyle w:val="Hyperlink"/>
            <w:rFonts w:cstheme="minorHAnsi"/>
            <w:sz w:val="24"/>
            <w:szCs w:val="24"/>
          </w:rPr>
          <w:t>accuracy of advertising and notice of insured statu</w:t>
        </w:r>
      </w:hyperlink>
      <w:hyperlink r:id="rId6" w:history="1">
        <w:r w:rsidRPr="003B2454">
          <w:rPr>
            <w:rStyle w:val="Hyperlink"/>
            <w:rFonts w:cstheme="minorHAnsi"/>
            <w:sz w:val="24"/>
            <w:szCs w:val="24"/>
          </w:rPr>
          <w:t>s</w:t>
        </w:r>
      </w:hyperlink>
      <w:r>
        <w:rPr>
          <w:rFonts w:cstheme="minorHAnsi"/>
          <w:sz w:val="24"/>
          <w:szCs w:val="24"/>
        </w:rPr>
        <w:t>.  This revision made changes to the requirements for includ</w:t>
      </w:r>
      <w:r w:rsidR="00A75940">
        <w:rPr>
          <w:rFonts w:cstheme="minorHAnsi"/>
          <w:sz w:val="24"/>
          <w:szCs w:val="24"/>
        </w:rPr>
        <w:t>ing the NCUA logo and/or slogan in advertisements.</w:t>
      </w:r>
    </w:p>
    <w:p w:rsidR="00A75940" w:rsidRDefault="00A75940" w:rsidP="00B52136">
      <w:pPr>
        <w:rPr>
          <w:rFonts w:cstheme="minorHAnsi"/>
          <w:sz w:val="24"/>
          <w:szCs w:val="24"/>
        </w:rPr>
      </w:pPr>
      <w:r>
        <w:rPr>
          <w:rFonts w:cstheme="minorHAnsi"/>
          <w:sz w:val="24"/>
          <w:szCs w:val="24"/>
        </w:rPr>
        <w:t xml:space="preserve">The second update impacts </w:t>
      </w:r>
      <w:hyperlink r:id="rId7" w:history="1">
        <w:r w:rsidRPr="00A75940">
          <w:rPr>
            <w:rStyle w:val="Hyperlink"/>
            <w:rFonts w:cstheme="minorHAnsi"/>
            <w:sz w:val="24"/>
            <w:szCs w:val="24"/>
          </w:rPr>
          <w:t>part 723 of the NCUA rules</w:t>
        </w:r>
      </w:hyperlink>
      <w:r>
        <w:rPr>
          <w:rFonts w:cstheme="minorHAnsi"/>
          <w:sz w:val="24"/>
          <w:szCs w:val="24"/>
        </w:rPr>
        <w:t xml:space="preserve"> for commercial lending.  This change was a result of the Economic Growth, Regulatory Relief, and Consumer Protection Act that was signed into law this month.  This revision to the NCUA rules is the first of many changes yet to come.</w:t>
      </w:r>
    </w:p>
    <w:p w:rsidR="00061545" w:rsidRPr="00883718" w:rsidRDefault="00061545" w:rsidP="002D1823">
      <w:pPr>
        <w:spacing w:after="0"/>
        <w:rPr>
          <w:rFonts w:cstheme="minorHAnsi"/>
          <w:b/>
          <w:sz w:val="24"/>
          <w:szCs w:val="24"/>
          <w:u w:val="single"/>
        </w:rPr>
      </w:pPr>
      <w:r w:rsidRPr="00883718">
        <w:rPr>
          <w:rFonts w:cstheme="minorHAnsi"/>
          <w:b/>
          <w:sz w:val="24"/>
          <w:szCs w:val="24"/>
          <w:u w:val="single"/>
        </w:rPr>
        <w:t>Policy Updates Summary</w:t>
      </w:r>
    </w:p>
    <w:p w:rsidR="00EC6CDB" w:rsidRDefault="00EC6CDB" w:rsidP="002D1823">
      <w:pPr>
        <w:spacing w:after="0"/>
        <w:rPr>
          <w:rFonts w:cstheme="minorHAnsi"/>
          <w:sz w:val="24"/>
          <w:szCs w:val="24"/>
        </w:rPr>
      </w:pPr>
    </w:p>
    <w:p w:rsidR="005E299A" w:rsidRDefault="005E299A" w:rsidP="00443125">
      <w:pPr>
        <w:spacing w:after="0"/>
        <w:rPr>
          <w:rFonts w:cstheme="minorHAnsi"/>
          <w:b/>
          <w:sz w:val="24"/>
          <w:szCs w:val="24"/>
          <w:u w:val="single"/>
        </w:rPr>
      </w:pPr>
      <w:r>
        <w:rPr>
          <w:rFonts w:cstheme="minorHAnsi"/>
          <w:b/>
          <w:sz w:val="24"/>
          <w:szCs w:val="24"/>
          <w:u w:val="single"/>
        </w:rPr>
        <w:t>Policy 2211 – Business Accounts</w:t>
      </w:r>
    </w:p>
    <w:p w:rsidR="005E299A" w:rsidRDefault="005E299A" w:rsidP="00443125">
      <w:pPr>
        <w:spacing w:after="0"/>
        <w:rPr>
          <w:rFonts w:cstheme="minorHAnsi"/>
          <w:b/>
          <w:sz w:val="24"/>
          <w:szCs w:val="24"/>
          <w:u w:val="single"/>
        </w:rPr>
      </w:pPr>
      <w:r>
        <w:rPr>
          <w:rFonts w:cstheme="minorHAnsi"/>
          <w:b/>
          <w:sz w:val="24"/>
          <w:szCs w:val="24"/>
          <w:u w:val="single"/>
        </w:rPr>
        <w:t>2018-2</w:t>
      </w:r>
    </w:p>
    <w:p w:rsidR="005E299A" w:rsidRPr="00311FAB" w:rsidRDefault="005E299A" w:rsidP="005E299A">
      <w:pPr>
        <w:spacing w:after="0"/>
        <w:rPr>
          <w:rFonts w:cstheme="minorHAnsi"/>
          <w:color w:val="FF0000"/>
          <w:sz w:val="24"/>
          <w:szCs w:val="24"/>
        </w:rPr>
      </w:pPr>
      <w:r>
        <w:rPr>
          <w:rFonts w:cstheme="minorHAnsi"/>
          <w:sz w:val="24"/>
          <w:szCs w:val="24"/>
        </w:rPr>
        <w:t xml:space="preserve">Policy 2211 was revised to include a reference to the requirement to obtain beneficial ownership information from business accounts in accordance with the new FinCEN rules that became effective in May of this year.  While detailed changes regarding the new </w:t>
      </w:r>
      <w:r w:rsidR="00E01E9D">
        <w:rPr>
          <w:rFonts w:cstheme="minorHAnsi"/>
          <w:sz w:val="24"/>
          <w:szCs w:val="24"/>
        </w:rPr>
        <w:t>requirements</w:t>
      </w:r>
      <w:r>
        <w:rPr>
          <w:rFonts w:cstheme="minorHAnsi"/>
          <w:sz w:val="24"/>
          <w:szCs w:val="24"/>
        </w:rPr>
        <w:t xml:space="preserve"> were made to Policy 2110 – the Bank Secrecy Act / Anti-Money Laundering Program</w:t>
      </w:r>
      <w:r w:rsidR="007A2029">
        <w:rPr>
          <w:rFonts w:cstheme="minorHAnsi"/>
          <w:sz w:val="24"/>
          <w:szCs w:val="24"/>
        </w:rPr>
        <w:t xml:space="preserve"> in the June 2016 and May 2018 updates</w:t>
      </w:r>
      <w:r>
        <w:rPr>
          <w:rFonts w:cstheme="minorHAnsi"/>
          <w:sz w:val="24"/>
          <w:szCs w:val="24"/>
        </w:rPr>
        <w:t xml:space="preserve">, a reference to that policy and requirements are now being </w:t>
      </w:r>
      <w:r w:rsidR="007A2029">
        <w:rPr>
          <w:rFonts w:cstheme="minorHAnsi"/>
          <w:sz w:val="24"/>
          <w:szCs w:val="24"/>
        </w:rPr>
        <w:t>included</w:t>
      </w:r>
      <w:bookmarkStart w:id="0" w:name="_GoBack"/>
      <w:bookmarkEnd w:id="0"/>
      <w:r w:rsidR="007A2029">
        <w:rPr>
          <w:rFonts w:cstheme="minorHAnsi"/>
          <w:sz w:val="24"/>
          <w:szCs w:val="24"/>
        </w:rPr>
        <w:t xml:space="preserve"> </w:t>
      </w:r>
      <w:r>
        <w:rPr>
          <w:rFonts w:cstheme="minorHAnsi"/>
          <w:sz w:val="24"/>
          <w:szCs w:val="24"/>
        </w:rPr>
        <w:t>in Policy 2211 to ensure compliance.</w:t>
      </w:r>
      <w:r w:rsidR="00BD2004">
        <w:rPr>
          <w:rFonts w:cstheme="minorHAnsi"/>
          <w:sz w:val="24"/>
          <w:szCs w:val="24"/>
        </w:rPr>
        <w:t xml:space="preserve"> </w:t>
      </w:r>
      <w:r w:rsidRPr="00311FAB">
        <w:rPr>
          <w:rFonts w:cstheme="minorHAnsi"/>
          <w:color w:val="FF0000"/>
          <w:sz w:val="24"/>
          <w:szCs w:val="24"/>
        </w:rPr>
        <w:t>(</w:t>
      </w:r>
      <w:r>
        <w:rPr>
          <w:rFonts w:cstheme="minorHAnsi"/>
          <w:color w:val="FF0000"/>
          <w:sz w:val="24"/>
          <w:szCs w:val="24"/>
        </w:rPr>
        <w:t>Recommended</w:t>
      </w:r>
      <w:r w:rsidRPr="00311FAB">
        <w:rPr>
          <w:rFonts w:cstheme="minorHAnsi"/>
          <w:color w:val="FF0000"/>
          <w:sz w:val="24"/>
          <w:szCs w:val="24"/>
        </w:rPr>
        <w:t>)</w:t>
      </w:r>
    </w:p>
    <w:p w:rsidR="005E299A" w:rsidRDefault="005E299A" w:rsidP="00443125">
      <w:pPr>
        <w:spacing w:after="0"/>
        <w:rPr>
          <w:rFonts w:cstheme="minorHAnsi"/>
          <w:b/>
          <w:sz w:val="24"/>
          <w:szCs w:val="24"/>
          <w:u w:val="single"/>
        </w:rPr>
      </w:pPr>
    </w:p>
    <w:p w:rsidR="00E01E9D" w:rsidRDefault="00E01E9D" w:rsidP="00E01E9D">
      <w:pPr>
        <w:spacing w:after="0"/>
        <w:rPr>
          <w:rFonts w:cstheme="minorHAnsi"/>
          <w:b/>
          <w:sz w:val="24"/>
          <w:szCs w:val="24"/>
          <w:u w:val="single"/>
        </w:rPr>
      </w:pPr>
      <w:r>
        <w:rPr>
          <w:rFonts w:cstheme="minorHAnsi"/>
          <w:b/>
          <w:sz w:val="24"/>
          <w:szCs w:val="24"/>
          <w:u w:val="single"/>
        </w:rPr>
        <w:t>Policy 2217 – Negative Account Balances</w:t>
      </w:r>
    </w:p>
    <w:p w:rsidR="00E01E9D" w:rsidRDefault="00E01E9D" w:rsidP="00E01E9D">
      <w:pPr>
        <w:spacing w:after="0"/>
        <w:rPr>
          <w:rFonts w:cstheme="minorHAnsi"/>
          <w:b/>
          <w:sz w:val="24"/>
          <w:szCs w:val="24"/>
          <w:u w:val="single"/>
        </w:rPr>
      </w:pPr>
      <w:r>
        <w:rPr>
          <w:rFonts w:cstheme="minorHAnsi"/>
          <w:b/>
          <w:sz w:val="24"/>
          <w:szCs w:val="24"/>
          <w:u w:val="single"/>
        </w:rPr>
        <w:t>2018-2</w:t>
      </w:r>
    </w:p>
    <w:p w:rsidR="00E01E9D" w:rsidRPr="00311FAB" w:rsidRDefault="00E01E9D" w:rsidP="00E01E9D">
      <w:pPr>
        <w:spacing w:after="0"/>
        <w:rPr>
          <w:rFonts w:cstheme="minorHAnsi"/>
          <w:color w:val="FF0000"/>
          <w:sz w:val="24"/>
          <w:szCs w:val="24"/>
        </w:rPr>
      </w:pPr>
      <w:r>
        <w:rPr>
          <w:rFonts w:cstheme="minorHAnsi"/>
          <w:sz w:val="24"/>
          <w:szCs w:val="24"/>
        </w:rPr>
        <w:t>This policy was revised to comply with the</w:t>
      </w:r>
      <w:hyperlink r:id="rId8" w:history="1">
        <w:r w:rsidRPr="00E01E9D">
          <w:rPr>
            <w:rStyle w:val="Hyperlink"/>
            <w:rFonts w:cstheme="minorHAnsi"/>
            <w:sz w:val="24"/>
            <w:szCs w:val="24"/>
          </w:rPr>
          <w:t xml:space="preserve"> FCU model bylaws</w:t>
        </w:r>
      </w:hyperlink>
      <w:r>
        <w:rPr>
          <w:rFonts w:cstheme="minorHAnsi"/>
          <w:sz w:val="24"/>
          <w:szCs w:val="24"/>
        </w:rPr>
        <w:t xml:space="preserve"> related to the maintenance of a membership share.</w:t>
      </w:r>
      <w:r w:rsidR="00BD2004">
        <w:rPr>
          <w:rFonts w:cstheme="minorHAnsi"/>
          <w:sz w:val="24"/>
          <w:szCs w:val="24"/>
        </w:rPr>
        <w:t xml:space="preserve"> </w:t>
      </w:r>
      <w:r w:rsidRPr="00311FAB">
        <w:rPr>
          <w:rFonts w:cstheme="minorHAnsi"/>
          <w:color w:val="FF0000"/>
          <w:sz w:val="24"/>
          <w:szCs w:val="24"/>
        </w:rPr>
        <w:t>(</w:t>
      </w:r>
      <w:r>
        <w:rPr>
          <w:rFonts w:cstheme="minorHAnsi"/>
          <w:color w:val="FF0000"/>
          <w:sz w:val="24"/>
          <w:szCs w:val="24"/>
        </w:rPr>
        <w:t>Recommended</w:t>
      </w:r>
      <w:r w:rsidRPr="00311FAB">
        <w:rPr>
          <w:rFonts w:cstheme="minorHAnsi"/>
          <w:color w:val="FF0000"/>
          <w:sz w:val="24"/>
          <w:szCs w:val="24"/>
        </w:rPr>
        <w:t>)</w:t>
      </w:r>
    </w:p>
    <w:p w:rsidR="00E01E9D" w:rsidRDefault="00E01E9D" w:rsidP="00443125">
      <w:pPr>
        <w:spacing w:after="0"/>
        <w:rPr>
          <w:rFonts w:cstheme="minorHAnsi"/>
          <w:b/>
          <w:sz w:val="24"/>
          <w:szCs w:val="24"/>
          <w:u w:val="single"/>
        </w:rPr>
      </w:pPr>
    </w:p>
    <w:p w:rsidR="00E01E9D" w:rsidRDefault="00E01E9D" w:rsidP="00443125">
      <w:pPr>
        <w:spacing w:after="0"/>
        <w:rPr>
          <w:rFonts w:cstheme="minorHAnsi"/>
          <w:b/>
          <w:sz w:val="24"/>
          <w:szCs w:val="24"/>
          <w:u w:val="single"/>
        </w:rPr>
      </w:pPr>
    </w:p>
    <w:p w:rsidR="00D23ED9" w:rsidRDefault="00D23ED9" w:rsidP="00443125">
      <w:pPr>
        <w:spacing w:after="0"/>
        <w:rPr>
          <w:rFonts w:cstheme="minorHAnsi"/>
          <w:b/>
          <w:sz w:val="24"/>
          <w:szCs w:val="24"/>
          <w:u w:val="single"/>
        </w:rPr>
      </w:pPr>
      <w:r>
        <w:rPr>
          <w:rFonts w:cstheme="minorHAnsi"/>
          <w:b/>
          <w:sz w:val="24"/>
          <w:szCs w:val="24"/>
          <w:u w:val="single"/>
        </w:rPr>
        <w:t>Policy 2</w:t>
      </w:r>
      <w:r w:rsidR="003B2454">
        <w:rPr>
          <w:rFonts w:cstheme="minorHAnsi"/>
          <w:b/>
          <w:sz w:val="24"/>
          <w:szCs w:val="24"/>
          <w:u w:val="single"/>
        </w:rPr>
        <w:t>280 – Share Insurance</w:t>
      </w:r>
    </w:p>
    <w:p w:rsidR="00976289" w:rsidRDefault="003B2454" w:rsidP="00443125">
      <w:pPr>
        <w:spacing w:after="0"/>
        <w:rPr>
          <w:rFonts w:cstheme="minorHAnsi"/>
          <w:b/>
          <w:sz w:val="24"/>
          <w:szCs w:val="24"/>
          <w:u w:val="single"/>
        </w:rPr>
      </w:pPr>
      <w:r>
        <w:rPr>
          <w:rFonts w:cstheme="minorHAnsi"/>
          <w:b/>
          <w:sz w:val="24"/>
          <w:szCs w:val="24"/>
          <w:u w:val="single"/>
        </w:rPr>
        <w:t>2018-2</w:t>
      </w:r>
    </w:p>
    <w:p w:rsidR="00247F1A" w:rsidRPr="00311FAB" w:rsidRDefault="003B2454" w:rsidP="00443125">
      <w:pPr>
        <w:spacing w:after="0"/>
        <w:rPr>
          <w:rFonts w:cstheme="minorHAnsi"/>
          <w:color w:val="FF0000"/>
          <w:sz w:val="24"/>
          <w:szCs w:val="24"/>
        </w:rPr>
      </w:pPr>
      <w:r>
        <w:rPr>
          <w:rFonts w:cstheme="minorHAnsi"/>
          <w:sz w:val="24"/>
          <w:szCs w:val="24"/>
        </w:rPr>
        <w:t xml:space="preserve">Policy 2280 was updated to include the changes the NCUA made to the advertising requirements and use of the official advertising statement from </w:t>
      </w:r>
      <w:hyperlink r:id="rId9" w:history="1">
        <w:r w:rsidRPr="003B2454">
          <w:rPr>
            <w:rStyle w:val="Hyperlink"/>
            <w:rFonts w:cstheme="minorHAnsi"/>
            <w:sz w:val="24"/>
            <w:szCs w:val="24"/>
          </w:rPr>
          <w:t>740.5.</w:t>
        </w:r>
      </w:hyperlink>
      <w:r>
        <w:rPr>
          <w:rFonts w:cstheme="minorHAnsi"/>
          <w:sz w:val="24"/>
          <w:szCs w:val="24"/>
        </w:rPr>
        <w:t xml:space="preserve">  The amendments to the regulation allowed for the use of another option for including the official advertising statement.  The amendments also included a revision that radio advertisements less than 30 seconds </w:t>
      </w:r>
      <w:r>
        <w:rPr>
          <w:rFonts w:cstheme="minorHAnsi"/>
          <w:sz w:val="24"/>
          <w:szCs w:val="24"/>
        </w:rPr>
        <w:lastRenderedPageBreak/>
        <w:t>(increase from 15 seconds) do not need to include the official advertising statement.</w:t>
      </w:r>
      <w:r w:rsidR="00BD2004">
        <w:rPr>
          <w:rFonts w:cstheme="minorHAnsi"/>
          <w:sz w:val="24"/>
          <w:szCs w:val="24"/>
        </w:rPr>
        <w:t xml:space="preserve">  </w:t>
      </w:r>
      <w:r w:rsidR="00247F1A" w:rsidRPr="00311FAB">
        <w:rPr>
          <w:rFonts w:cstheme="minorHAnsi"/>
          <w:color w:val="FF0000"/>
          <w:sz w:val="24"/>
          <w:szCs w:val="24"/>
        </w:rPr>
        <w:t>(</w:t>
      </w:r>
      <w:r w:rsidR="00311FAB">
        <w:rPr>
          <w:rFonts w:cstheme="minorHAnsi"/>
          <w:color w:val="FF0000"/>
          <w:sz w:val="24"/>
          <w:szCs w:val="24"/>
        </w:rPr>
        <w:t>Recommended</w:t>
      </w:r>
      <w:r w:rsidR="00247F1A" w:rsidRPr="00311FAB">
        <w:rPr>
          <w:rFonts w:cstheme="minorHAnsi"/>
          <w:color w:val="FF0000"/>
          <w:sz w:val="24"/>
          <w:szCs w:val="24"/>
        </w:rPr>
        <w:t>)</w:t>
      </w:r>
    </w:p>
    <w:p w:rsidR="005C31F7" w:rsidRDefault="005C31F7" w:rsidP="00443125">
      <w:pPr>
        <w:spacing w:after="0"/>
        <w:rPr>
          <w:rFonts w:cstheme="minorHAnsi"/>
          <w:sz w:val="24"/>
          <w:szCs w:val="24"/>
        </w:rPr>
      </w:pPr>
    </w:p>
    <w:p w:rsidR="00A75940" w:rsidRDefault="00A75940" w:rsidP="00A75940">
      <w:pPr>
        <w:spacing w:after="0"/>
        <w:rPr>
          <w:rFonts w:cstheme="minorHAnsi"/>
          <w:b/>
          <w:sz w:val="24"/>
          <w:szCs w:val="24"/>
          <w:u w:val="single"/>
        </w:rPr>
      </w:pPr>
      <w:r>
        <w:rPr>
          <w:rFonts w:cstheme="minorHAnsi"/>
          <w:b/>
          <w:sz w:val="24"/>
          <w:szCs w:val="24"/>
          <w:u w:val="single"/>
        </w:rPr>
        <w:t>Policy 7420 – Member Business Loans / Commercial Lending</w:t>
      </w:r>
    </w:p>
    <w:p w:rsidR="00A75940" w:rsidRDefault="00A75940" w:rsidP="00A75940">
      <w:pPr>
        <w:spacing w:after="0"/>
        <w:rPr>
          <w:rFonts w:cstheme="minorHAnsi"/>
          <w:b/>
          <w:sz w:val="24"/>
          <w:szCs w:val="24"/>
          <w:u w:val="single"/>
        </w:rPr>
      </w:pPr>
      <w:r>
        <w:rPr>
          <w:rFonts w:cstheme="minorHAnsi"/>
          <w:b/>
          <w:sz w:val="24"/>
          <w:szCs w:val="24"/>
          <w:u w:val="single"/>
        </w:rPr>
        <w:t>2018-2</w:t>
      </w:r>
    </w:p>
    <w:p w:rsidR="00A75940" w:rsidRPr="00311FAB" w:rsidRDefault="00613E4C" w:rsidP="00A75940">
      <w:pPr>
        <w:spacing w:after="0"/>
        <w:rPr>
          <w:rFonts w:cstheme="minorHAnsi"/>
          <w:color w:val="FF0000"/>
          <w:sz w:val="24"/>
          <w:szCs w:val="24"/>
        </w:rPr>
      </w:pPr>
      <w:r>
        <w:rPr>
          <w:rFonts w:cstheme="minorHAnsi"/>
          <w:sz w:val="24"/>
          <w:szCs w:val="24"/>
        </w:rPr>
        <w:t xml:space="preserve">This policy was updated in order to reflect the changes made to </w:t>
      </w:r>
      <w:hyperlink r:id="rId10" w:history="1">
        <w:r w:rsidRPr="00613E4C">
          <w:rPr>
            <w:rStyle w:val="Hyperlink"/>
            <w:rFonts w:cstheme="minorHAnsi"/>
            <w:sz w:val="24"/>
            <w:szCs w:val="24"/>
          </w:rPr>
          <w:t>NCUA rules Part 723.8</w:t>
        </w:r>
      </w:hyperlink>
      <w:r>
        <w:rPr>
          <w:rFonts w:cstheme="minorHAnsi"/>
          <w:sz w:val="24"/>
          <w:szCs w:val="24"/>
        </w:rPr>
        <w:t xml:space="preserve"> which now excludes from the definition of a member business loan (and subject to the aggregate MBL lending cap) an extension of credit fully secured by a lien on a 1- to 4-family dwelling (regardless of borrower’s occupancy status).</w:t>
      </w:r>
      <w:r w:rsidR="00BD2004">
        <w:rPr>
          <w:rFonts w:cstheme="minorHAnsi"/>
          <w:sz w:val="24"/>
          <w:szCs w:val="24"/>
        </w:rPr>
        <w:t xml:space="preserve">  </w:t>
      </w:r>
      <w:r w:rsidR="00A75940" w:rsidRPr="00311FAB">
        <w:rPr>
          <w:rFonts w:cstheme="minorHAnsi"/>
          <w:color w:val="FF0000"/>
          <w:sz w:val="24"/>
          <w:szCs w:val="24"/>
        </w:rPr>
        <w:t>(</w:t>
      </w:r>
      <w:r w:rsidR="00A75940">
        <w:rPr>
          <w:rFonts w:cstheme="minorHAnsi"/>
          <w:color w:val="FF0000"/>
          <w:sz w:val="24"/>
          <w:szCs w:val="24"/>
        </w:rPr>
        <w:t>Re</w:t>
      </w:r>
      <w:r w:rsidR="00E01E9D">
        <w:rPr>
          <w:rFonts w:cstheme="minorHAnsi"/>
          <w:color w:val="FF0000"/>
          <w:sz w:val="24"/>
          <w:szCs w:val="24"/>
        </w:rPr>
        <w:t>quired if o</w:t>
      </w:r>
      <w:r w:rsidR="00A75940">
        <w:rPr>
          <w:rFonts w:cstheme="minorHAnsi"/>
          <w:color w:val="FF0000"/>
          <w:sz w:val="24"/>
          <w:szCs w:val="24"/>
        </w:rPr>
        <w:t>ffered</w:t>
      </w:r>
      <w:r w:rsidR="00A75940" w:rsidRPr="00311FAB">
        <w:rPr>
          <w:rFonts w:cstheme="minorHAnsi"/>
          <w:color w:val="FF0000"/>
          <w:sz w:val="24"/>
          <w:szCs w:val="24"/>
        </w:rPr>
        <w:t>)</w:t>
      </w:r>
    </w:p>
    <w:p w:rsidR="00A75940" w:rsidRDefault="00A75940" w:rsidP="00443125">
      <w:pPr>
        <w:spacing w:after="0"/>
        <w:rPr>
          <w:rFonts w:cstheme="minorHAnsi"/>
          <w:sz w:val="24"/>
          <w:szCs w:val="24"/>
        </w:rPr>
      </w:pPr>
    </w:p>
    <w:sectPr w:rsidR="00A7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557B"/>
    <w:rsid w:val="000106B2"/>
    <w:rsid w:val="00013026"/>
    <w:rsid w:val="00014B57"/>
    <w:rsid w:val="000200F1"/>
    <w:rsid w:val="00021C22"/>
    <w:rsid w:val="00023D48"/>
    <w:rsid w:val="00023FAB"/>
    <w:rsid w:val="000315F8"/>
    <w:rsid w:val="00036400"/>
    <w:rsid w:val="00036F5A"/>
    <w:rsid w:val="00046168"/>
    <w:rsid w:val="0004761E"/>
    <w:rsid w:val="00047E0A"/>
    <w:rsid w:val="00051FA8"/>
    <w:rsid w:val="0005660F"/>
    <w:rsid w:val="00056718"/>
    <w:rsid w:val="00061545"/>
    <w:rsid w:val="00067B62"/>
    <w:rsid w:val="00070AE7"/>
    <w:rsid w:val="00074839"/>
    <w:rsid w:val="000755E7"/>
    <w:rsid w:val="00080D3A"/>
    <w:rsid w:val="000811F3"/>
    <w:rsid w:val="0008184B"/>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A7BA8"/>
    <w:rsid w:val="001B20CA"/>
    <w:rsid w:val="001B38F4"/>
    <w:rsid w:val="001B4DCC"/>
    <w:rsid w:val="001C50D8"/>
    <w:rsid w:val="001D376F"/>
    <w:rsid w:val="001D4B3E"/>
    <w:rsid w:val="001E0DE6"/>
    <w:rsid w:val="001E5678"/>
    <w:rsid w:val="001F143C"/>
    <w:rsid w:val="001F23BF"/>
    <w:rsid w:val="001F3E1A"/>
    <w:rsid w:val="00200831"/>
    <w:rsid w:val="002019D5"/>
    <w:rsid w:val="0020263F"/>
    <w:rsid w:val="00207BD1"/>
    <w:rsid w:val="002112F0"/>
    <w:rsid w:val="00211A86"/>
    <w:rsid w:val="0021217B"/>
    <w:rsid w:val="00216198"/>
    <w:rsid w:val="00220082"/>
    <w:rsid w:val="0022236F"/>
    <w:rsid w:val="002364CB"/>
    <w:rsid w:val="00245233"/>
    <w:rsid w:val="00247F1A"/>
    <w:rsid w:val="00250369"/>
    <w:rsid w:val="00255644"/>
    <w:rsid w:val="00262A25"/>
    <w:rsid w:val="00270048"/>
    <w:rsid w:val="00271634"/>
    <w:rsid w:val="00285927"/>
    <w:rsid w:val="00285F20"/>
    <w:rsid w:val="002925C1"/>
    <w:rsid w:val="00294923"/>
    <w:rsid w:val="002A13A4"/>
    <w:rsid w:val="002A262C"/>
    <w:rsid w:val="002A7FDA"/>
    <w:rsid w:val="002B4DDE"/>
    <w:rsid w:val="002B5230"/>
    <w:rsid w:val="002B54E5"/>
    <w:rsid w:val="002B7C4D"/>
    <w:rsid w:val="002C3E12"/>
    <w:rsid w:val="002C6577"/>
    <w:rsid w:val="002D1823"/>
    <w:rsid w:val="002D55B6"/>
    <w:rsid w:val="002E41DB"/>
    <w:rsid w:val="00302A2A"/>
    <w:rsid w:val="00304E16"/>
    <w:rsid w:val="00305A9C"/>
    <w:rsid w:val="00307A85"/>
    <w:rsid w:val="00311FAB"/>
    <w:rsid w:val="003174E9"/>
    <w:rsid w:val="00317A11"/>
    <w:rsid w:val="00317B45"/>
    <w:rsid w:val="0032392A"/>
    <w:rsid w:val="00324F95"/>
    <w:rsid w:val="00336997"/>
    <w:rsid w:val="0033754E"/>
    <w:rsid w:val="003437B4"/>
    <w:rsid w:val="0035450C"/>
    <w:rsid w:val="0036254E"/>
    <w:rsid w:val="00363693"/>
    <w:rsid w:val="00373A26"/>
    <w:rsid w:val="003922D3"/>
    <w:rsid w:val="003948E3"/>
    <w:rsid w:val="003957E3"/>
    <w:rsid w:val="003A096C"/>
    <w:rsid w:val="003A24A8"/>
    <w:rsid w:val="003B2454"/>
    <w:rsid w:val="003B76CF"/>
    <w:rsid w:val="003C3BF2"/>
    <w:rsid w:val="003C50F3"/>
    <w:rsid w:val="003C6421"/>
    <w:rsid w:val="003C7772"/>
    <w:rsid w:val="003D0108"/>
    <w:rsid w:val="003D6804"/>
    <w:rsid w:val="003E390B"/>
    <w:rsid w:val="003E5DB4"/>
    <w:rsid w:val="003F699B"/>
    <w:rsid w:val="00403D7A"/>
    <w:rsid w:val="004123E7"/>
    <w:rsid w:val="0041378D"/>
    <w:rsid w:val="004150D9"/>
    <w:rsid w:val="0041662E"/>
    <w:rsid w:val="0042683F"/>
    <w:rsid w:val="004336BD"/>
    <w:rsid w:val="00433EF0"/>
    <w:rsid w:val="00434F4C"/>
    <w:rsid w:val="00440E8C"/>
    <w:rsid w:val="00442B0C"/>
    <w:rsid w:val="00443125"/>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7FB4"/>
    <w:rsid w:val="004D3048"/>
    <w:rsid w:val="004D79B0"/>
    <w:rsid w:val="004E1A32"/>
    <w:rsid w:val="004F0AD5"/>
    <w:rsid w:val="004F11B2"/>
    <w:rsid w:val="004F73DA"/>
    <w:rsid w:val="00500F85"/>
    <w:rsid w:val="00503B1C"/>
    <w:rsid w:val="00503C98"/>
    <w:rsid w:val="0051031B"/>
    <w:rsid w:val="005200EE"/>
    <w:rsid w:val="00523EE0"/>
    <w:rsid w:val="00525093"/>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C31F7"/>
    <w:rsid w:val="005D21FE"/>
    <w:rsid w:val="005D3449"/>
    <w:rsid w:val="005E0B0E"/>
    <w:rsid w:val="005E19F2"/>
    <w:rsid w:val="005E299A"/>
    <w:rsid w:val="005F422A"/>
    <w:rsid w:val="0060371C"/>
    <w:rsid w:val="00613E4C"/>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1163"/>
    <w:rsid w:val="006D33B1"/>
    <w:rsid w:val="006D6769"/>
    <w:rsid w:val="006E24B3"/>
    <w:rsid w:val="006F2F2F"/>
    <w:rsid w:val="006F4AB0"/>
    <w:rsid w:val="007015C0"/>
    <w:rsid w:val="00701F78"/>
    <w:rsid w:val="007075F0"/>
    <w:rsid w:val="0071794A"/>
    <w:rsid w:val="00721A21"/>
    <w:rsid w:val="007268EA"/>
    <w:rsid w:val="007344A8"/>
    <w:rsid w:val="00736B7D"/>
    <w:rsid w:val="00736D4C"/>
    <w:rsid w:val="0074024B"/>
    <w:rsid w:val="00745E5F"/>
    <w:rsid w:val="007462AE"/>
    <w:rsid w:val="00747C08"/>
    <w:rsid w:val="00752D47"/>
    <w:rsid w:val="007607C6"/>
    <w:rsid w:val="00765780"/>
    <w:rsid w:val="007703A5"/>
    <w:rsid w:val="00777238"/>
    <w:rsid w:val="007862A9"/>
    <w:rsid w:val="007915F9"/>
    <w:rsid w:val="0079185B"/>
    <w:rsid w:val="00796FA6"/>
    <w:rsid w:val="007A2029"/>
    <w:rsid w:val="007E3A54"/>
    <w:rsid w:val="007E3E35"/>
    <w:rsid w:val="007E48FD"/>
    <w:rsid w:val="007E6214"/>
    <w:rsid w:val="007E6E43"/>
    <w:rsid w:val="007F0523"/>
    <w:rsid w:val="007F2A88"/>
    <w:rsid w:val="00800355"/>
    <w:rsid w:val="0080331E"/>
    <w:rsid w:val="00806885"/>
    <w:rsid w:val="00807413"/>
    <w:rsid w:val="00813572"/>
    <w:rsid w:val="0082498F"/>
    <w:rsid w:val="00834200"/>
    <w:rsid w:val="00836C99"/>
    <w:rsid w:val="00841393"/>
    <w:rsid w:val="008428BD"/>
    <w:rsid w:val="00846D68"/>
    <w:rsid w:val="00851441"/>
    <w:rsid w:val="00857E3F"/>
    <w:rsid w:val="00861803"/>
    <w:rsid w:val="008644E7"/>
    <w:rsid w:val="00866E5D"/>
    <w:rsid w:val="008714FD"/>
    <w:rsid w:val="00872BBC"/>
    <w:rsid w:val="00875714"/>
    <w:rsid w:val="008815A4"/>
    <w:rsid w:val="008817D8"/>
    <w:rsid w:val="00883718"/>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10C84"/>
    <w:rsid w:val="00913E29"/>
    <w:rsid w:val="009235C5"/>
    <w:rsid w:val="00923A41"/>
    <w:rsid w:val="009242B1"/>
    <w:rsid w:val="00924E86"/>
    <w:rsid w:val="00926067"/>
    <w:rsid w:val="0093058B"/>
    <w:rsid w:val="00934CEB"/>
    <w:rsid w:val="0093734C"/>
    <w:rsid w:val="009514F0"/>
    <w:rsid w:val="00951ABD"/>
    <w:rsid w:val="009523BB"/>
    <w:rsid w:val="009571A7"/>
    <w:rsid w:val="0096231E"/>
    <w:rsid w:val="00963321"/>
    <w:rsid w:val="009674A5"/>
    <w:rsid w:val="0097362F"/>
    <w:rsid w:val="0097466A"/>
    <w:rsid w:val="00976289"/>
    <w:rsid w:val="00980E72"/>
    <w:rsid w:val="009821CE"/>
    <w:rsid w:val="0098222A"/>
    <w:rsid w:val="00984E09"/>
    <w:rsid w:val="00985550"/>
    <w:rsid w:val="009930F1"/>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632FF"/>
    <w:rsid w:val="00A66EBE"/>
    <w:rsid w:val="00A67775"/>
    <w:rsid w:val="00A719B9"/>
    <w:rsid w:val="00A75940"/>
    <w:rsid w:val="00A763E1"/>
    <w:rsid w:val="00AA0106"/>
    <w:rsid w:val="00AA3F29"/>
    <w:rsid w:val="00AA5B1A"/>
    <w:rsid w:val="00AA7553"/>
    <w:rsid w:val="00AB0A58"/>
    <w:rsid w:val="00AB7419"/>
    <w:rsid w:val="00AC4E47"/>
    <w:rsid w:val="00AD0567"/>
    <w:rsid w:val="00AE13DC"/>
    <w:rsid w:val="00AF12D8"/>
    <w:rsid w:val="00AF3DED"/>
    <w:rsid w:val="00AF5779"/>
    <w:rsid w:val="00B04FC4"/>
    <w:rsid w:val="00B138B0"/>
    <w:rsid w:val="00B25593"/>
    <w:rsid w:val="00B32571"/>
    <w:rsid w:val="00B513B6"/>
    <w:rsid w:val="00B51894"/>
    <w:rsid w:val="00B52136"/>
    <w:rsid w:val="00B563E1"/>
    <w:rsid w:val="00B60BBA"/>
    <w:rsid w:val="00B659C4"/>
    <w:rsid w:val="00B66CF6"/>
    <w:rsid w:val="00B67303"/>
    <w:rsid w:val="00B81F9D"/>
    <w:rsid w:val="00B842D4"/>
    <w:rsid w:val="00B9127B"/>
    <w:rsid w:val="00B94637"/>
    <w:rsid w:val="00BA1F65"/>
    <w:rsid w:val="00BA26B2"/>
    <w:rsid w:val="00BA430F"/>
    <w:rsid w:val="00BB0AED"/>
    <w:rsid w:val="00BB140A"/>
    <w:rsid w:val="00BB59B8"/>
    <w:rsid w:val="00BC51D5"/>
    <w:rsid w:val="00BD1B72"/>
    <w:rsid w:val="00BD2004"/>
    <w:rsid w:val="00BD4441"/>
    <w:rsid w:val="00BE0DFF"/>
    <w:rsid w:val="00BE3E26"/>
    <w:rsid w:val="00BF501E"/>
    <w:rsid w:val="00C02A7B"/>
    <w:rsid w:val="00C07CE3"/>
    <w:rsid w:val="00C14330"/>
    <w:rsid w:val="00C15BB8"/>
    <w:rsid w:val="00C21218"/>
    <w:rsid w:val="00C21422"/>
    <w:rsid w:val="00C21978"/>
    <w:rsid w:val="00C2260D"/>
    <w:rsid w:val="00C22AD6"/>
    <w:rsid w:val="00C250D5"/>
    <w:rsid w:val="00C2705D"/>
    <w:rsid w:val="00C30421"/>
    <w:rsid w:val="00C364D2"/>
    <w:rsid w:val="00C44706"/>
    <w:rsid w:val="00C53582"/>
    <w:rsid w:val="00C567E8"/>
    <w:rsid w:val="00C57F9B"/>
    <w:rsid w:val="00C64F2C"/>
    <w:rsid w:val="00C7600B"/>
    <w:rsid w:val="00C80027"/>
    <w:rsid w:val="00C87CA8"/>
    <w:rsid w:val="00C940C8"/>
    <w:rsid w:val="00CB6433"/>
    <w:rsid w:val="00CB7D30"/>
    <w:rsid w:val="00CC1E6E"/>
    <w:rsid w:val="00CD6D27"/>
    <w:rsid w:val="00CE7F1A"/>
    <w:rsid w:val="00CF13FC"/>
    <w:rsid w:val="00D15BFB"/>
    <w:rsid w:val="00D15EB1"/>
    <w:rsid w:val="00D2065B"/>
    <w:rsid w:val="00D23ED9"/>
    <w:rsid w:val="00D356EE"/>
    <w:rsid w:val="00D46A66"/>
    <w:rsid w:val="00D47ADC"/>
    <w:rsid w:val="00D52AFA"/>
    <w:rsid w:val="00D5526E"/>
    <w:rsid w:val="00D603ED"/>
    <w:rsid w:val="00D62DA6"/>
    <w:rsid w:val="00D70B2C"/>
    <w:rsid w:val="00D72903"/>
    <w:rsid w:val="00D83778"/>
    <w:rsid w:val="00D83E33"/>
    <w:rsid w:val="00D85BE1"/>
    <w:rsid w:val="00D87C6E"/>
    <w:rsid w:val="00D92AE7"/>
    <w:rsid w:val="00D94E6D"/>
    <w:rsid w:val="00D94F80"/>
    <w:rsid w:val="00D95A72"/>
    <w:rsid w:val="00DA02DB"/>
    <w:rsid w:val="00DA40ED"/>
    <w:rsid w:val="00DA5E05"/>
    <w:rsid w:val="00DC60F2"/>
    <w:rsid w:val="00DD4809"/>
    <w:rsid w:val="00DD4AD7"/>
    <w:rsid w:val="00DE3201"/>
    <w:rsid w:val="00DF02AD"/>
    <w:rsid w:val="00DF383E"/>
    <w:rsid w:val="00E01E9D"/>
    <w:rsid w:val="00E04720"/>
    <w:rsid w:val="00E05AF5"/>
    <w:rsid w:val="00E104E2"/>
    <w:rsid w:val="00E1279A"/>
    <w:rsid w:val="00E14527"/>
    <w:rsid w:val="00E22808"/>
    <w:rsid w:val="00E2597A"/>
    <w:rsid w:val="00E32B47"/>
    <w:rsid w:val="00E33491"/>
    <w:rsid w:val="00E33782"/>
    <w:rsid w:val="00E34BA5"/>
    <w:rsid w:val="00E35FA8"/>
    <w:rsid w:val="00E40AC8"/>
    <w:rsid w:val="00E43D64"/>
    <w:rsid w:val="00E46C44"/>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27A2"/>
    <w:rsid w:val="00F031B4"/>
    <w:rsid w:val="00F109F1"/>
    <w:rsid w:val="00F15BE3"/>
    <w:rsid w:val="00F21436"/>
    <w:rsid w:val="00F30B7A"/>
    <w:rsid w:val="00F34F85"/>
    <w:rsid w:val="00F42D3D"/>
    <w:rsid w:val="00F4480E"/>
    <w:rsid w:val="00F54F33"/>
    <w:rsid w:val="00F609AE"/>
    <w:rsid w:val="00F63104"/>
    <w:rsid w:val="00F63D61"/>
    <w:rsid w:val="00F87A23"/>
    <w:rsid w:val="00F92157"/>
    <w:rsid w:val="00F96232"/>
    <w:rsid w:val="00F9641C"/>
    <w:rsid w:val="00F97BF4"/>
    <w:rsid w:val="00FA62F2"/>
    <w:rsid w:val="00FB0D7B"/>
    <w:rsid w:val="00FC0BBD"/>
    <w:rsid w:val="00FC425B"/>
    <w:rsid w:val="00FC5F2F"/>
    <w:rsid w:val="00FD39F7"/>
    <w:rsid w:val="00FE207A"/>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85B5"/>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 w:type="paragraph" w:styleId="BalloonText">
    <w:name w:val="Balloon Text"/>
    <w:basedOn w:val="Normal"/>
    <w:link w:val="BalloonTextChar"/>
    <w:uiPriority w:val="99"/>
    <w:semiHidden/>
    <w:unhideWhenUsed/>
    <w:rsid w:val="00913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285165787">
      <w:bodyDiv w:val="1"/>
      <w:marLeft w:val="0"/>
      <w:marRight w:val="0"/>
      <w:marTop w:val="0"/>
      <w:marBottom w:val="0"/>
      <w:divBdr>
        <w:top w:val="none" w:sz="0" w:space="0" w:color="auto"/>
        <w:left w:val="none" w:sz="0" w:space="0" w:color="auto"/>
        <w:bottom w:val="none" w:sz="0" w:space="0" w:color="auto"/>
        <w:right w:val="none" w:sz="0" w:space="0" w:color="auto"/>
      </w:divBdr>
    </w:div>
    <w:div w:id="317734746">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99d4221f2c8fcab908803d6f96950486&amp;mc=true&amp;node=ap12.7.701_139.a&amp;rgn=div9" TargetMode="External"/><Relationship Id="rId3" Type="http://schemas.openxmlformats.org/officeDocument/2006/relationships/settings" Target="settings.xml"/><Relationship Id="rId7" Type="http://schemas.openxmlformats.org/officeDocument/2006/relationships/hyperlink" Target="https://www.gpo.gov/fdsys/pkg/FR-2018-06-05/pdf/2018-1194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ua.gov/regulation-supervision/Documents/Regulations/accuracy-advertising-notice-insured-status.pdf" TargetMode="External"/><Relationship Id="rId11" Type="http://schemas.openxmlformats.org/officeDocument/2006/relationships/fontTable" Target="fontTable.xml"/><Relationship Id="rId5" Type="http://schemas.openxmlformats.org/officeDocument/2006/relationships/hyperlink" Target="https://www.ncua.gov/regulation-supervision/Documents/Regulations/accuracy-advertising-notice-insured-status.pdf" TargetMode="External"/><Relationship Id="rId10" Type="http://schemas.openxmlformats.org/officeDocument/2006/relationships/hyperlink" Target="https://www.gpo.gov/fdsys/pkg/FR-2018-06-05/pdf/2018-11946.pdf" TargetMode="External"/><Relationship Id="rId4" Type="http://schemas.openxmlformats.org/officeDocument/2006/relationships/webSettings" Target="webSettings.xml"/><Relationship Id="rId9" Type="http://schemas.openxmlformats.org/officeDocument/2006/relationships/hyperlink" Target="https://www.ncua.gov/regulation-supervision/Documents/Regulations/accuracy-advertising-notice-insured-sta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Wolbert</dc:creator>
  <cp:lastModifiedBy>Mary Ann Koelzer</cp:lastModifiedBy>
  <cp:revision>3</cp:revision>
  <cp:lastPrinted>2014-12-03T13:21:00Z</cp:lastPrinted>
  <dcterms:created xsi:type="dcterms:W3CDTF">2018-06-15T15:09:00Z</dcterms:created>
  <dcterms:modified xsi:type="dcterms:W3CDTF">2018-06-15T15:55:00Z</dcterms:modified>
</cp:coreProperties>
</file>